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79F6" w:rsidRPr="00342AA5" w:rsidRDefault="002B003F" w:rsidP="00F479F6">
      <w:pPr>
        <w:contextualSpacing/>
        <w:jc w:val="center"/>
        <w:rPr>
          <w:b/>
        </w:rPr>
      </w:pPr>
      <w:bookmarkStart w:id="0" w:name="OLE_LINK1"/>
      <w:bookmarkStart w:id="1" w:name="OLE_LINK2"/>
      <w:r w:rsidRPr="00342AA5">
        <w:rPr>
          <w:b/>
        </w:rPr>
        <w:t>Attachment C</w:t>
      </w:r>
      <w:r w:rsidR="00A15DB7" w:rsidRPr="00342AA5">
        <w:rPr>
          <w:b/>
        </w:rPr>
        <w:t xml:space="preserve"> – </w:t>
      </w:r>
      <w:r w:rsidR="004368A2" w:rsidRPr="00342AA5">
        <w:rPr>
          <w:b/>
        </w:rPr>
        <w:t xml:space="preserve">Cost </w:t>
      </w:r>
      <w:r w:rsidR="00AE3D57" w:rsidRPr="00342AA5">
        <w:rPr>
          <w:b/>
        </w:rPr>
        <w:t>Detail</w:t>
      </w:r>
      <w:r w:rsidR="0087429C" w:rsidRPr="00342AA5">
        <w:rPr>
          <w:b/>
        </w:rPr>
        <w:t xml:space="preserve"> Template</w:t>
      </w:r>
    </w:p>
    <w:p w:rsidR="002B003F" w:rsidRPr="004A5427" w:rsidRDefault="00F65DE0" w:rsidP="00F65DE0">
      <w:pPr>
        <w:pStyle w:val="Title"/>
        <w:contextualSpacing/>
        <w:jc w:val="left"/>
      </w:pPr>
      <w:r>
        <w:t xml:space="preserve">This Cost Detail Template </w:t>
      </w:r>
      <w:r w:rsidR="002B003F" w:rsidRPr="005A42DF">
        <w:t xml:space="preserve">correlates with </w:t>
      </w:r>
      <w:r w:rsidR="004A5427" w:rsidRPr="004A5427">
        <w:t>RFP Section 2 Tasks &amp; Deliverables</w:t>
      </w:r>
      <w:r w:rsidR="00F94981">
        <w:t>.</w:t>
      </w:r>
      <w:r w:rsidR="004A5427" w:rsidRPr="005A42DF">
        <w:t xml:space="preserve"> </w:t>
      </w:r>
      <w:r w:rsidR="007B3F97" w:rsidRPr="004A5427">
        <w:t xml:space="preserve">If no cost, insert Zero $0 into the corresponding box. </w:t>
      </w:r>
      <w:r w:rsidR="004A5427">
        <w:t>Add or delete rows as needed</w:t>
      </w:r>
      <w:r w:rsidR="00F94981">
        <w:t>.</w:t>
      </w:r>
      <w:r w:rsidR="002F5009">
        <w:t xml:space="preserve"> If the Response is submitted with row(s) without a cost, MSRS will use </w:t>
      </w:r>
      <w:r w:rsidR="002F5009" w:rsidRPr="004A5427">
        <w:t>Zero $0</w:t>
      </w:r>
      <w:r w:rsidR="005B1598">
        <w:t xml:space="preserve"> for the cost score calculation</w:t>
      </w:r>
      <w:r w:rsidR="002F5009">
        <w:t>.</w:t>
      </w:r>
    </w:p>
    <w:bookmarkEnd w:id="0"/>
    <w:bookmarkEnd w:id="1"/>
    <w:tbl>
      <w:tblPr>
        <w:tblStyle w:val="TableGrid"/>
        <w:tblW w:w="11504" w:type="dxa"/>
        <w:tblLayout w:type="fixed"/>
        <w:tblLook w:val="04A0" w:firstRow="1" w:lastRow="0" w:firstColumn="1" w:lastColumn="0" w:noHBand="0" w:noVBand="1"/>
      </w:tblPr>
      <w:tblGrid>
        <w:gridCol w:w="1368"/>
        <w:gridCol w:w="5113"/>
        <w:gridCol w:w="1676"/>
        <w:gridCol w:w="1620"/>
        <w:gridCol w:w="1727"/>
      </w:tblGrid>
      <w:tr w:rsidR="00BF1E06" w:rsidRPr="00223306" w:rsidTr="001E6F72">
        <w:trPr>
          <w:gridAfter w:val="1"/>
          <w:wAfter w:w="1727" w:type="dxa"/>
          <w:trHeight w:val="1313"/>
          <w:tblHeader/>
        </w:trPr>
        <w:tc>
          <w:tcPr>
            <w:tcW w:w="1368" w:type="dxa"/>
            <w:shd w:val="clear" w:color="auto" w:fill="8DB3E2" w:themeFill="text2" w:themeFillTint="66"/>
            <w:vAlign w:val="center"/>
          </w:tcPr>
          <w:p w:rsidR="00BF1E06" w:rsidRPr="00223306" w:rsidRDefault="00BF1E06" w:rsidP="004368A2">
            <w:pPr>
              <w:jc w:val="center"/>
              <w:rPr>
                <w:b/>
              </w:rPr>
            </w:pPr>
          </w:p>
          <w:p w:rsidR="00BF1E06" w:rsidRPr="00223306" w:rsidRDefault="004A5427" w:rsidP="004A5427">
            <w:pPr>
              <w:ind w:right="-390"/>
              <w:rPr>
                <w:b/>
              </w:rPr>
            </w:pPr>
            <w:r>
              <w:rPr>
                <w:b/>
              </w:rPr>
              <w:t xml:space="preserve">RFP Section 2 Tasks </w:t>
            </w:r>
            <w:r w:rsidRPr="004A5427">
              <w:rPr>
                <w:b/>
              </w:rPr>
              <w:t>&amp; Deliverables</w:t>
            </w:r>
            <w:r>
              <w:rPr>
                <w:b/>
              </w:rPr>
              <w:t xml:space="preserve"> </w:t>
            </w:r>
          </w:p>
        </w:tc>
        <w:tc>
          <w:tcPr>
            <w:tcW w:w="5113" w:type="dxa"/>
            <w:shd w:val="clear" w:color="auto" w:fill="8DB3E2" w:themeFill="text2" w:themeFillTint="66"/>
            <w:vAlign w:val="center"/>
          </w:tcPr>
          <w:p w:rsidR="00BF1E06" w:rsidRPr="00223306" w:rsidRDefault="00BF1E06" w:rsidP="004368A2">
            <w:pPr>
              <w:jc w:val="center"/>
              <w:rPr>
                <w:b/>
              </w:rPr>
            </w:pPr>
            <w:r w:rsidRPr="00223306">
              <w:rPr>
                <w:b/>
              </w:rPr>
              <w:t>Service Description</w:t>
            </w:r>
            <w:r>
              <w:rPr>
                <w:b/>
              </w:rPr>
              <w:t xml:space="preserve"> Summary</w:t>
            </w:r>
          </w:p>
        </w:tc>
        <w:tc>
          <w:tcPr>
            <w:tcW w:w="1676" w:type="dxa"/>
            <w:shd w:val="clear" w:color="auto" w:fill="8DB3E2" w:themeFill="text2" w:themeFillTint="66"/>
            <w:vAlign w:val="center"/>
          </w:tcPr>
          <w:p w:rsidR="00BF1E06" w:rsidRDefault="00BF1E06" w:rsidP="004368A2">
            <w:pPr>
              <w:jc w:val="center"/>
              <w:rPr>
                <w:b/>
              </w:rPr>
            </w:pPr>
            <w:r>
              <w:rPr>
                <w:b/>
              </w:rPr>
              <w:t>Year 1</w:t>
            </w:r>
          </w:p>
          <w:p w:rsidR="00BF1E06" w:rsidRPr="00223306" w:rsidRDefault="00BF1E06" w:rsidP="004368A2">
            <w:pPr>
              <w:jc w:val="center"/>
              <w:rPr>
                <w:b/>
              </w:rPr>
            </w:pPr>
            <w:r>
              <w:rPr>
                <w:b/>
              </w:rPr>
              <w:t>Cost</w:t>
            </w:r>
          </w:p>
        </w:tc>
        <w:tc>
          <w:tcPr>
            <w:tcW w:w="1620" w:type="dxa"/>
            <w:shd w:val="clear" w:color="auto" w:fill="8DB3E2" w:themeFill="text2" w:themeFillTint="66"/>
            <w:vAlign w:val="center"/>
          </w:tcPr>
          <w:p w:rsidR="00BF1E06" w:rsidRDefault="00BF1E06" w:rsidP="004368A2">
            <w:pPr>
              <w:jc w:val="center"/>
              <w:rPr>
                <w:b/>
              </w:rPr>
            </w:pPr>
            <w:r>
              <w:rPr>
                <w:b/>
              </w:rPr>
              <w:t>Year 2</w:t>
            </w:r>
          </w:p>
          <w:p w:rsidR="00BF1E06" w:rsidRPr="00223306" w:rsidRDefault="00BF1E06" w:rsidP="004368A2">
            <w:pPr>
              <w:jc w:val="center"/>
              <w:rPr>
                <w:b/>
              </w:rPr>
            </w:pPr>
            <w:r>
              <w:rPr>
                <w:b/>
              </w:rPr>
              <w:t>Cost</w:t>
            </w:r>
          </w:p>
        </w:tc>
      </w:tr>
      <w:tr w:rsidR="00BF1E06" w:rsidRPr="00223306" w:rsidTr="001E6F72">
        <w:trPr>
          <w:gridAfter w:val="1"/>
          <w:wAfter w:w="1727" w:type="dxa"/>
        </w:trPr>
        <w:tc>
          <w:tcPr>
            <w:tcW w:w="1368" w:type="dxa"/>
            <w:shd w:val="clear" w:color="auto" w:fill="DAEEF3" w:themeFill="accent5" w:themeFillTint="33"/>
          </w:tcPr>
          <w:p w:rsidR="00BF1E06" w:rsidRPr="00223306" w:rsidRDefault="009A7861" w:rsidP="00725F24">
            <w:pPr>
              <w:jc w:val="center"/>
              <w:rPr>
                <w:b/>
              </w:rPr>
            </w:pPr>
            <w:r>
              <w:rPr>
                <w:b/>
              </w:rPr>
              <w:t>2.1</w:t>
            </w:r>
          </w:p>
        </w:tc>
        <w:tc>
          <w:tcPr>
            <w:tcW w:w="5113" w:type="dxa"/>
            <w:shd w:val="clear" w:color="auto" w:fill="DAEEF3" w:themeFill="accent5" w:themeFillTint="33"/>
          </w:tcPr>
          <w:p w:rsidR="00BF1E06" w:rsidRPr="002B003F" w:rsidRDefault="009A7861" w:rsidP="004368A2">
            <w:pPr>
              <w:rPr>
                <w:b/>
              </w:rPr>
            </w:pPr>
            <w:r w:rsidRPr="00C21E37">
              <w:rPr>
                <w:b/>
              </w:rPr>
              <w:t>Internal control and compliance reviews</w:t>
            </w:r>
          </w:p>
        </w:tc>
        <w:tc>
          <w:tcPr>
            <w:tcW w:w="1676" w:type="dxa"/>
            <w:tcBorders>
              <w:bottom w:val="single" w:sz="4" w:space="0" w:color="auto"/>
            </w:tcBorders>
            <w:shd w:val="clear" w:color="auto" w:fill="DAEEF3" w:themeFill="accent5" w:themeFillTint="33"/>
          </w:tcPr>
          <w:p w:rsidR="00BF1E06" w:rsidRPr="004368A2" w:rsidRDefault="00BF1E06" w:rsidP="004368A2">
            <w:pPr>
              <w:rPr>
                <w:b/>
              </w:rPr>
            </w:pPr>
          </w:p>
        </w:tc>
        <w:tc>
          <w:tcPr>
            <w:tcW w:w="1620" w:type="dxa"/>
            <w:tcBorders>
              <w:bottom w:val="single" w:sz="4" w:space="0" w:color="auto"/>
            </w:tcBorders>
            <w:shd w:val="clear" w:color="auto" w:fill="DAEEF3" w:themeFill="accent5" w:themeFillTint="33"/>
          </w:tcPr>
          <w:p w:rsidR="00BF1E06" w:rsidRPr="004368A2" w:rsidRDefault="00BF1E06" w:rsidP="004368A2">
            <w:pPr>
              <w:rPr>
                <w:b/>
              </w:rPr>
            </w:pPr>
          </w:p>
        </w:tc>
      </w:tr>
      <w:tr w:rsidR="001E6F72" w:rsidRPr="00223306" w:rsidTr="001E6F72">
        <w:trPr>
          <w:gridAfter w:val="1"/>
          <w:wAfter w:w="1727" w:type="dxa"/>
        </w:trPr>
        <w:tc>
          <w:tcPr>
            <w:tcW w:w="1368" w:type="dxa"/>
          </w:tcPr>
          <w:p w:rsidR="001E6F72" w:rsidRPr="00223306" w:rsidRDefault="001E6F72" w:rsidP="001E6F72">
            <w:pPr>
              <w:ind w:left="390"/>
              <w:jc w:val="center"/>
            </w:pPr>
          </w:p>
        </w:tc>
        <w:tc>
          <w:tcPr>
            <w:tcW w:w="5113" w:type="dxa"/>
          </w:tcPr>
          <w:p w:rsidR="001E6F72" w:rsidRDefault="001E6F72" w:rsidP="001E6F72">
            <w:pPr>
              <w:pStyle w:val="ListParagraph"/>
              <w:widowControl w:val="0"/>
              <w:numPr>
                <w:ilvl w:val="0"/>
                <w:numId w:val="3"/>
              </w:numPr>
              <w:tabs>
                <w:tab w:val="left" w:pos="800"/>
              </w:tabs>
              <w:autoSpaceDE w:val="0"/>
              <w:autoSpaceDN w:val="0"/>
              <w:spacing w:before="1" w:line="267" w:lineRule="exact"/>
            </w:pPr>
            <w:r>
              <w:t>Finance</w:t>
            </w:r>
            <w:r w:rsidRPr="001E6F72">
              <w:rPr>
                <w:spacing w:val="-3"/>
              </w:rPr>
              <w:t xml:space="preserve"> </w:t>
            </w:r>
            <w:r>
              <w:t>and</w:t>
            </w:r>
            <w:r w:rsidRPr="001E6F72">
              <w:rPr>
                <w:spacing w:val="-4"/>
              </w:rPr>
              <w:t xml:space="preserve"> </w:t>
            </w:r>
            <w:r>
              <w:t>Accounting</w:t>
            </w:r>
            <w:r w:rsidRPr="001E6F72">
              <w:rPr>
                <w:spacing w:val="-4"/>
              </w:rPr>
              <w:t xml:space="preserve"> </w:t>
            </w:r>
            <w:r>
              <w:t>activities</w:t>
            </w:r>
            <w:r w:rsidRPr="001E6F72">
              <w:rPr>
                <w:spacing w:val="-4"/>
              </w:rPr>
              <w:t xml:space="preserve"> </w:t>
            </w:r>
            <w:r w:rsidRPr="001E6F72">
              <w:rPr>
                <w:spacing w:val="-2"/>
              </w:rPr>
              <w:t>including:</w:t>
            </w:r>
          </w:p>
          <w:p w:rsidR="001E6F72" w:rsidRPr="0055737F" w:rsidRDefault="001E6F72" w:rsidP="001E6F72">
            <w:pPr>
              <w:pStyle w:val="ListParagraph"/>
              <w:numPr>
                <w:ilvl w:val="1"/>
                <w:numId w:val="3"/>
              </w:numPr>
            </w:pPr>
            <w:r w:rsidRPr="0055737F">
              <w:t>Cash receipts</w:t>
            </w:r>
          </w:p>
          <w:p w:rsidR="001E6F72" w:rsidRPr="0055737F" w:rsidRDefault="001E6F72" w:rsidP="001E6F72">
            <w:pPr>
              <w:pStyle w:val="ListParagraph"/>
              <w:numPr>
                <w:ilvl w:val="1"/>
                <w:numId w:val="3"/>
              </w:numPr>
            </w:pPr>
            <w:r w:rsidRPr="0055737F">
              <w:t>Accounts payable</w:t>
            </w:r>
          </w:p>
          <w:p w:rsidR="001E6F72" w:rsidRPr="0055737F" w:rsidRDefault="001E6F72" w:rsidP="001E6F72">
            <w:pPr>
              <w:pStyle w:val="ListParagraph"/>
              <w:numPr>
                <w:ilvl w:val="1"/>
                <w:numId w:val="3"/>
              </w:numPr>
            </w:pPr>
            <w:r w:rsidRPr="0055737F">
              <w:t>Accounts receivable</w:t>
            </w:r>
          </w:p>
          <w:p w:rsidR="001E6F72" w:rsidRPr="0055737F" w:rsidRDefault="001E6F72" w:rsidP="001E6F72">
            <w:pPr>
              <w:pStyle w:val="ListParagraph"/>
              <w:numPr>
                <w:ilvl w:val="1"/>
                <w:numId w:val="3"/>
              </w:numPr>
            </w:pPr>
            <w:r w:rsidRPr="0055737F">
              <w:t>Administrative expenses</w:t>
            </w:r>
          </w:p>
          <w:p w:rsidR="001E6F72" w:rsidRPr="0055737F" w:rsidRDefault="001E6F72" w:rsidP="001E6F72">
            <w:pPr>
              <w:pStyle w:val="ListParagraph"/>
              <w:numPr>
                <w:ilvl w:val="1"/>
                <w:numId w:val="3"/>
              </w:numPr>
            </w:pPr>
            <w:r w:rsidRPr="0055737F">
              <w:t>Contracting</w:t>
            </w:r>
          </w:p>
          <w:p w:rsidR="001E6F72" w:rsidRPr="0055737F" w:rsidRDefault="001E6F72" w:rsidP="001E6F72">
            <w:pPr>
              <w:pStyle w:val="ListParagraph"/>
              <w:numPr>
                <w:ilvl w:val="1"/>
                <w:numId w:val="3"/>
              </w:numPr>
            </w:pPr>
            <w:r w:rsidRPr="0055737F">
              <w:t>Payroll processing</w:t>
            </w:r>
          </w:p>
          <w:p w:rsidR="001E6F72" w:rsidRPr="0055737F" w:rsidRDefault="001E6F72" w:rsidP="001E6F72">
            <w:pPr>
              <w:pStyle w:val="ListParagraph"/>
              <w:numPr>
                <w:ilvl w:val="1"/>
                <w:numId w:val="3"/>
              </w:numPr>
            </w:pPr>
            <w:r w:rsidRPr="0055737F">
              <w:t>Expense reimbursements</w:t>
            </w:r>
          </w:p>
          <w:p w:rsidR="001E6F72" w:rsidRPr="0055737F" w:rsidRDefault="001E6F72" w:rsidP="001E6F72">
            <w:pPr>
              <w:pStyle w:val="ListParagraph"/>
              <w:numPr>
                <w:ilvl w:val="0"/>
                <w:numId w:val="3"/>
              </w:numPr>
            </w:pPr>
            <w:r w:rsidRPr="0055737F">
              <w:t>Systems access</w:t>
            </w:r>
          </w:p>
          <w:p w:rsidR="001E6F72" w:rsidRPr="0055737F" w:rsidRDefault="001E6F72" w:rsidP="001E6F72">
            <w:pPr>
              <w:pStyle w:val="ListParagraph"/>
              <w:numPr>
                <w:ilvl w:val="0"/>
                <w:numId w:val="3"/>
              </w:numPr>
            </w:pPr>
            <w:r w:rsidRPr="0055737F">
              <w:t>Data integrity</w:t>
            </w:r>
          </w:p>
          <w:p w:rsidR="001E6F72" w:rsidRPr="0055737F" w:rsidRDefault="001E6F72" w:rsidP="001E6F72">
            <w:pPr>
              <w:pStyle w:val="ListParagraph"/>
              <w:numPr>
                <w:ilvl w:val="0"/>
                <w:numId w:val="3"/>
              </w:numPr>
            </w:pPr>
            <w:r w:rsidRPr="0055737F">
              <w:t>Benefit calculations</w:t>
            </w:r>
          </w:p>
          <w:p w:rsidR="001E6F72" w:rsidRPr="0055737F" w:rsidRDefault="001E6F72" w:rsidP="001E6F72">
            <w:pPr>
              <w:pStyle w:val="ListParagraph"/>
              <w:numPr>
                <w:ilvl w:val="0"/>
                <w:numId w:val="3"/>
              </w:numPr>
            </w:pPr>
            <w:r w:rsidRPr="0055737F">
              <w:t>Annuity payments</w:t>
            </w:r>
          </w:p>
          <w:p w:rsidR="001E6F72" w:rsidRPr="0055737F" w:rsidRDefault="001E6F72" w:rsidP="001E6F72">
            <w:pPr>
              <w:pStyle w:val="ListParagraph"/>
              <w:numPr>
                <w:ilvl w:val="0"/>
                <w:numId w:val="3"/>
              </w:numPr>
            </w:pPr>
            <w:r w:rsidRPr="0055737F">
              <w:t>Refunds</w:t>
            </w:r>
          </w:p>
          <w:p w:rsidR="001E6F72" w:rsidRPr="0055737F" w:rsidRDefault="001E6F72" w:rsidP="001E6F72">
            <w:pPr>
              <w:pStyle w:val="ListParagraph"/>
              <w:numPr>
                <w:ilvl w:val="0"/>
                <w:numId w:val="3"/>
              </w:numPr>
            </w:pPr>
            <w:r w:rsidRPr="0055737F">
              <w:t>Employer payroll reporting</w:t>
            </w:r>
          </w:p>
          <w:p w:rsidR="001E6F72" w:rsidRPr="0055737F" w:rsidRDefault="001E6F72" w:rsidP="001E6F72">
            <w:pPr>
              <w:pStyle w:val="ListParagraph"/>
              <w:numPr>
                <w:ilvl w:val="0"/>
                <w:numId w:val="3"/>
              </w:numPr>
            </w:pPr>
            <w:r w:rsidRPr="0055737F">
              <w:t>Vendor Service Organization Controls Report reviews</w:t>
            </w:r>
          </w:p>
          <w:p w:rsidR="001E6F72" w:rsidRPr="0055737F" w:rsidRDefault="001E6F72" w:rsidP="001E6F72">
            <w:pPr>
              <w:pStyle w:val="ListParagraph"/>
              <w:numPr>
                <w:ilvl w:val="0"/>
                <w:numId w:val="3"/>
              </w:numPr>
            </w:pPr>
            <w:r w:rsidRPr="0055737F">
              <w:t>IT security</w:t>
            </w:r>
          </w:p>
          <w:p w:rsidR="001E6F72" w:rsidRPr="007820F6" w:rsidRDefault="001E6F72" w:rsidP="001E6F72"/>
        </w:tc>
        <w:tc>
          <w:tcPr>
            <w:tcW w:w="1676" w:type="dxa"/>
            <w:shd w:val="pct20" w:color="auto" w:fill="auto"/>
          </w:tcPr>
          <w:p w:rsidR="001E6F72" w:rsidRPr="00223306" w:rsidRDefault="001E6F72" w:rsidP="001E6F72">
            <w:pPr>
              <w:jc w:val="right"/>
            </w:pPr>
          </w:p>
        </w:tc>
        <w:tc>
          <w:tcPr>
            <w:tcW w:w="1620" w:type="dxa"/>
            <w:shd w:val="pct20" w:color="auto" w:fill="auto"/>
          </w:tcPr>
          <w:p w:rsidR="001E6F72" w:rsidRPr="00223306" w:rsidRDefault="001E6F72" w:rsidP="001E6F72">
            <w:pPr>
              <w:jc w:val="right"/>
            </w:pPr>
          </w:p>
        </w:tc>
      </w:tr>
      <w:tr w:rsidR="001E6F72" w:rsidRPr="00223306" w:rsidTr="001E6F72">
        <w:trPr>
          <w:gridAfter w:val="1"/>
          <w:wAfter w:w="1727" w:type="dxa"/>
        </w:trPr>
        <w:tc>
          <w:tcPr>
            <w:tcW w:w="1368" w:type="dxa"/>
            <w:shd w:val="clear" w:color="auto" w:fill="DAEEF3" w:themeFill="accent5" w:themeFillTint="33"/>
          </w:tcPr>
          <w:p w:rsidR="001E6F72" w:rsidRPr="001E6F72" w:rsidRDefault="001E6F72" w:rsidP="001E6F72">
            <w:pPr>
              <w:jc w:val="center"/>
              <w:rPr>
                <w:b/>
              </w:rPr>
            </w:pPr>
            <w:r>
              <w:rPr>
                <w:b/>
              </w:rPr>
              <w:t>2.2</w:t>
            </w:r>
          </w:p>
        </w:tc>
        <w:tc>
          <w:tcPr>
            <w:tcW w:w="5113" w:type="dxa"/>
            <w:shd w:val="clear" w:color="auto" w:fill="DAEEF3" w:themeFill="accent5" w:themeFillTint="33"/>
          </w:tcPr>
          <w:p w:rsidR="001E6F72" w:rsidRPr="005A42DF" w:rsidRDefault="001E6F72" w:rsidP="001E6F72">
            <w:r w:rsidRPr="00C21E37">
              <w:rPr>
                <w:b/>
              </w:rPr>
              <w:t>Governance, risk management and internal control structure review</w:t>
            </w:r>
          </w:p>
        </w:tc>
        <w:tc>
          <w:tcPr>
            <w:tcW w:w="1676" w:type="dxa"/>
            <w:tcBorders>
              <w:bottom w:val="single" w:sz="4" w:space="0" w:color="auto"/>
            </w:tcBorders>
            <w:shd w:val="clear" w:color="auto" w:fill="DAEEF3" w:themeFill="accent5" w:themeFillTint="33"/>
          </w:tcPr>
          <w:p w:rsidR="001E6F72" w:rsidRPr="00223306" w:rsidRDefault="001E6F72" w:rsidP="001E6F72">
            <w:pPr>
              <w:jc w:val="right"/>
            </w:pPr>
          </w:p>
        </w:tc>
        <w:tc>
          <w:tcPr>
            <w:tcW w:w="1620" w:type="dxa"/>
            <w:tcBorders>
              <w:bottom w:val="single" w:sz="4" w:space="0" w:color="auto"/>
            </w:tcBorders>
            <w:shd w:val="clear" w:color="auto" w:fill="DAEEF3" w:themeFill="accent5" w:themeFillTint="33"/>
          </w:tcPr>
          <w:p w:rsidR="001E6F72" w:rsidRPr="00223306" w:rsidRDefault="001E6F72" w:rsidP="001E6F72">
            <w:pPr>
              <w:jc w:val="right"/>
            </w:pPr>
          </w:p>
        </w:tc>
      </w:tr>
      <w:tr w:rsidR="001E6F72" w:rsidRPr="00223306" w:rsidTr="001E6F72">
        <w:trPr>
          <w:gridAfter w:val="1"/>
          <w:wAfter w:w="1727" w:type="dxa"/>
        </w:trPr>
        <w:tc>
          <w:tcPr>
            <w:tcW w:w="1368" w:type="dxa"/>
          </w:tcPr>
          <w:p w:rsidR="001E6F72" w:rsidRDefault="001E6F72" w:rsidP="001E6F72">
            <w:pPr>
              <w:ind w:left="390"/>
              <w:jc w:val="center"/>
            </w:pPr>
          </w:p>
        </w:tc>
        <w:tc>
          <w:tcPr>
            <w:tcW w:w="5113" w:type="dxa"/>
          </w:tcPr>
          <w:p w:rsidR="001E6F72" w:rsidRDefault="001E6F72" w:rsidP="001E6F72">
            <w:r>
              <w:t>•Retirement provisions are operating within the highest fiduciary standards and in accordance with federal and state laws and regulations and the policies and procedures of MSRS.</w:t>
            </w:r>
          </w:p>
          <w:p w:rsidR="001E6F72" w:rsidRDefault="001E6F72" w:rsidP="001E6F72">
            <w:r>
              <w:lastRenderedPageBreak/>
              <w:t>•Programs and processes used by MSRS are consistent with industry best practices, using the leading public pension retirement funds as a benchmark.</w:t>
            </w:r>
          </w:p>
          <w:p w:rsidR="001E6F72" w:rsidRDefault="001E6F72" w:rsidP="001E6F72">
            <w:r>
              <w:t>•Operations, processes and programs are consistent with established missions, objectives and goals.</w:t>
            </w:r>
          </w:p>
          <w:p w:rsidR="001E6F72" w:rsidRDefault="001E6F72" w:rsidP="001E6F72">
            <w:r>
              <w:t>•Risks within and outside the control of MSRS are appropriately identified and managed.</w:t>
            </w:r>
          </w:p>
          <w:p w:rsidR="001E6F72" w:rsidRDefault="001E6F72" w:rsidP="001E6F72">
            <w:r>
              <w:t>•A risk-based audit plan and audit schedule is prepared and presented to the MSRS Audit Committee for review and approval.</w:t>
            </w:r>
          </w:p>
          <w:p w:rsidR="001E6F72" w:rsidRDefault="001E6F72" w:rsidP="001E6F72">
            <w:r>
              <w:t>•Significant financial, managerial, and operations data and reports are accurate, timely, and reliable for decision- making purposes.</w:t>
            </w:r>
          </w:p>
          <w:p w:rsidR="001E6F72" w:rsidRDefault="001E6F72" w:rsidP="001E6F72">
            <w:r>
              <w:t>•Responsibilities and activities of the Office of the Legislative Auditor are coordinated with those of internal audit to provide continuity of audit effort and to avoid duplication of effort.</w:t>
            </w:r>
          </w:p>
          <w:p w:rsidR="001E6F72" w:rsidRDefault="001E6F72" w:rsidP="001E6F72">
            <w:r>
              <w:t>•Existing policies and procedures are updated and operating as approved.</w:t>
            </w:r>
          </w:p>
          <w:p w:rsidR="001E6F72" w:rsidRDefault="001E6F72" w:rsidP="001E6F72">
            <w:r>
              <w:t>•Appropriate record-keeping and required documentation is maintained according to audit standards.</w:t>
            </w:r>
          </w:p>
          <w:p w:rsidR="001E6F72" w:rsidRDefault="001E6F72" w:rsidP="001E6F72">
            <w:r>
              <w:t>•Significant legislative and regulatory matters impacting MSRS are recognized and addressed properly.</w:t>
            </w:r>
          </w:p>
          <w:p w:rsidR="001E6F72" w:rsidRPr="007820F6" w:rsidRDefault="001E6F72" w:rsidP="001E6F72">
            <w:r>
              <w:t>•Corrective and preventative actions are taken by MSRS staff to resolve audit issues in a timely manner.</w:t>
            </w:r>
          </w:p>
        </w:tc>
        <w:tc>
          <w:tcPr>
            <w:tcW w:w="1676" w:type="dxa"/>
            <w:shd w:val="pct20" w:color="auto" w:fill="auto"/>
          </w:tcPr>
          <w:p w:rsidR="001E6F72" w:rsidRPr="00223306" w:rsidRDefault="001E6F72" w:rsidP="001E6F72">
            <w:pPr>
              <w:jc w:val="right"/>
            </w:pPr>
          </w:p>
        </w:tc>
        <w:tc>
          <w:tcPr>
            <w:tcW w:w="1620" w:type="dxa"/>
            <w:shd w:val="pct20" w:color="auto" w:fill="auto"/>
          </w:tcPr>
          <w:p w:rsidR="001E6F72" w:rsidRPr="00223306" w:rsidRDefault="001E6F72" w:rsidP="001E6F72">
            <w:pPr>
              <w:jc w:val="right"/>
            </w:pPr>
          </w:p>
        </w:tc>
      </w:tr>
      <w:tr w:rsidR="001E6F72" w:rsidRPr="00223306" w:rsidTr="001E6F72">
        <w:trPr>
          <w:gridAfter w:val="1"/>
          <w:wAfter w:w="1727" w:type="dxa"/>
          <w:trHeight w:val="98"/>
        </w:trPr>
        <w:tc>
          <w:tcPr>
            <w:tcW w:w="1368" w:type="dxa"/>
            <w:shd w:val="clear" w:color="auto" w:fill="DAEEF3" w:themeFill="accent5" w:themeFillTint="33"/>
          </w:tcPr>
          <w:p w:rsidR="001E6F72" w:rsidRPr="00223306" w:rsidRDefault="001E6F72" w:rsidP="001E6F72">
            <w:pPr>
              <w:jc w:val="center"/>
              <w:rPr>
                <w:b/>
              </w:rPr>
            </w:pPr>
            <w:r>
              <w:rPr>
                <w:b/>
              </w:rPr>
              <w:t>2.3</w:t>
            </w:r>
          </w:p>
        </w:tc>
        <w:tc>
          <w:tcPr>
            <w:tcW w:w="5113" w:type="dxa"/>
            <w:shd w:val="clear" w:color="auto" w:fill="DAEEF3" w:themeFill="accent5" w:themeFillTint="33"/>
          </w:tcPr>
          <w:p w:rsidR="001E6F72" w:rsidRPr="00577B2C" w:rsidRDefault="001E6F72" w:rsidP="001E6F72">
            <w:pPr>
              <w:rPr>
                <w:b/>
              </w:rPr>
            </w:pPr>
            <w:r w:rsidRPr="00C21E37">
              <w:rPr>
                <w:b/>
              </w:rPr>
              <w:t>Report and recommend</w:t>
            </w:r>
          </w:p>
        </w:tc>
        <w:tc>
          <w:tcPr>
            <w:tcW w:w="1676" w:type="dxa"/>
            <w:tcBorders>
              <w:bottom w:val="single" w:sz="4" w:space="0" w:color="auto"/>
            </w:tcBorders>
            <w:shd w:val="clear" w:color="auto" w:fill="DAEEF3" w:themeFill="accent5" w:themeFillTint="33"/>
          </w:tcPr>
          <w:p w:rsidR="001E6F72" w:rsidRPr="00223306" w:rsidRDefault="001E6F72" w:rsidP="001E6F72">
            <w:pPr>
              <w:rPr>
                <w:b/>
              </w:rPr>
            </w:pPr>
          </w:p>
        </w:tc>
        <w:tc>
          <w:tcPr>
            <w:tcW w:w="1620" w:type="dxa"/>
            <w:tcBorders>
              <w:bottom w:val="single" w:sz="4" w:space="0" w:color="auto"/>
            </w:tcBorders>
            <w:shd w:val="clear" w:color="auto" w:fill="DAEEF3" w:themeFill="accent5" w:themeFillTint="33"/>
          </w:tcPr>
          <w:p w:rsidR="001E6F72" w:rsidRPr="004368A2" w:rsidRDefault="001E6F72" w:rsidP="001E6F72">
            <w:pPr>
              <w:rPr>
                <w:b/>
              </w:rPr>
            </w:pPr>
          </w:p>
        </w:tc>
      </w:tr>
      <w:tr w:rsidR="001E6F72" w:rsidRPr="00223306" w:rsidTr="001E6F72">
        <w:trPr>
          <w:gridAfter w:val="1"/>
          <w:wAfter w:w="1727" w:type="dxa"/>
        </w:trPr>
        <w:tc>
          <w:tcPr>
            <w:tcW w:w="1368" w:type="dxa"/>
          </w:tcPr>
          <w:p w:rsidR="001E6F72" w:rsidRPr="00223306" w:rsidRDefault="001E6F72" w:rsidP="001E6F72">
            <w:pPr>
              <w:ind w:left="390" w:hanging="511"/>
              <w:jc w:val="center"/>
            </w:pPr>
          </w:p>
        </w:tc>
        <w:tc>
          <w:tcPr>
            <w:tcW w:w="5113" w:type="dxa"/>
          </w:tcPr>
          <w:p w:rsidR="001E6F72" w:rsidRPr="007820F6" w:rsidRDefault="001E6F72" w:rsidP="001E6F72">
            <w:r w:rsidRPr="001E6F72">
              <w:t xml:space="preserve">The selected contractor will recommend opportunities to improve service, management of risks, the internal </w:t>
            </w:r>
            <w:r w:rsidRPr="001E6F72">
              <w:lastRenderedPageBreak/>
              <w:t>control framework, and the regulatory compliance environment will be regularly communicated during field work. These data and recommendations will be communicated to the appropriate level of MSRS management and the audit committee.</w:t>
            </w:r>
          </w:p>
        </w:tc>
        <w:tc>
          <w:tcPr>
            <w:tcW w:w="1676" w:type="dxa"/>
            <w:shd w:val="pct20" w:color="auto" w:fill="auto"/>
          </w:tcPr>
          <w:p w:rsidR="001E6F72" w:rsidRPr="00223306" w:rsidRDefault="001E6F72" w:rsidP="001E6F72">
            <w:pPr>
              <w:jc w:val="right"/>
            </w:pPr>
          </w:p>
        </w:tc>
        <w:tc>
          <w:tcPr>
            <w:tcW w:w="1620" w:type="dxa"/>
            <w:shd w:val="pct20" w:color="auto" w:fill="auto"/>
          </w:tcPr>
          <w:p w:rsidR="001E6F72" w:rsidRPr="00223306" w:rsidRDefault="001E6F72" w:rsidP="001E6F72">
            <w:pPr>
              <w:jc w:val="right"/>
            </w:pPr>
          </w:p>
        </w:tc>
      </w:tr>
      <w:tr w:rsidR="001E6F72" w:rsidRPr="00223306" w:rsidTr="001E6F72">
        <w:trPr>
          <w:gridAfter w:val="1"/>
          <w:wAfter w:w="1727" w:type="dxa"/>
        </w:trPr>
        <w:tc>
          <w:tcPr>
            <w:tcW w:w="1368" w:type="dxa"/>
            <w:shd w:val="clear" w:color="auto" w:fill="DAEEF3" w:themeFill="accent5" w:themeFillTint="33"/>
            <w:vAlign w:val="center"/>
          </w:tcPr>
          <w:p w:rsidR="001E6F72" w:rsidRPr="00223306" w:rsidRDefault="001E6F72" w:rsidP="001E6F72">
            <w:pPr>
              <w:ind w:left="390" w:hanging="511"/>
              <w:jc w:val="center"/>
            </w:pPr>
            <w:r>
              <w:rPr>
                <w:b/>
              </w:rPr>
              <w:t>2.4</w:t>
            </w:r>
          </w:p>
        </w:tc>
        <w:tc>
          <w:tcPr>
            <w:tcW w:w="5113" w:type="dxa"/>
            <w:shd w:val="clear" w:color="auto" w:fill="DAEEF3" w:themeFill="accent5" w:themeFillTint="33"/>
            <w:vAlign w:val="center"/>
          </w:tcPr>
          <w:p w:rsidR="001E6F72" w:rsidRPr="00223306" w:rsidRDefault="001E6F72" w:rsidP="001E6F72">
            <w:r>
              <w:rPr>
                <w:b/>
              </w:rPr>
              <w:t xml:space="preserve">Adhere to </w:t>
            </w:r>
            <w:r w:rsidRPr="00C21E37">
              <w:rPr>
                <w:b/>
              </w:rPr>
              <w:t>Professional standards</w:t>
            </w:r>
          </w:p>
        </w:tc>
        <w:tc>
          <w:tcPr>
            <w:tcW w:w="1676" w:type="dxa"/>
            <w:tcBorders>
              <w:bottom w:val="single" w:sz="4" w:space="0" w:color="auto"/>
            </w:tcBorders>
            <w:shd w:val="clear" w:color="auto" w:fill="DAEEF3" w:themeFill="accent5" w:themeFillTint="33"/>
            <w:vAlign w:val="center"/>
          </w:tcPr>
          <w:p w:rsidR="001E6F72" w:rsidRPr="00223306" w:rsidRDefault="001E6F72" w:rsidP="001E6F72">
            <w:pPr>
              <w:jc w:val="right"/>
            </w:pPr>
          </w:p>
        </w:tc>
        <w:tc>
          <w:tcPr>
            <w:tcW w:w="1620" w:type="dxa"/>
            <w:tcBorders>
              <w:bottom w:val="single" w:sz="4" w:space="0" w:color="auto"/>
            </w:tcBorders>
            <w:shd w:val="clear" w:color="auto" w:fill="DAEEF3" w:themeFill="accent5" w:themeFillTint="33"/>
            <w:vAlign w:val="center"/>
          </w:tcPr>
          <w:p w:rsidR="001E6F72" w:rsidRPr="00223306" w:rsidRDefault="001E6F72" w:rsidP="001E6F72">
            <w:pPr>
              <w:jc w:val="right"/>
            </w:pPr>
          </w:p>
        </w:tc>
      </w:tr>
      <w:tr w:rsidR="001E6F72" w:rsidRPr="00223306" w:rsidTr="001E6F72">
        <w:trPr>
          <w:gridAfter w:val="1"/>
          <w:wAfter w:w="1727" w:type="dxa"/>
        </w:trPr>
        <w:tc>
          <w:tcPr>
            <w:tcW w:w="1368" w:type="dxa"/>
          </w:tcPr>
          <w:p w:rsidR="001E6F72" w:rsidRPr="00223306" w:rsidRDefault="001E6F72" w:rsidP="001E6F72">
            <w:pPr>
              <w:ind w:left="390" w:hanging="511"/>
              <w:jc w:val="center"/>
            </w:pPr>
          </w:p>
        </w:tc>
        <w:tc>
          <w:tcPr>
            <w:tcW w:w="5113" w:type="dxa"/>
          </w:tcPr>
          <w:p w:rsidR="001E6F72" w:rsidRPr="001E6F72" w:rsidRDefault="001E6F72" w:rsidP="001E6F72">
            <w:r w:rsidRPr="001E6F72">
              <w:t xml:space="preserve">All auditing professionals will conduct themselves by adhering to professional audit standards, which includes the </w:t>
            </w:r>
            <w:hyperlink r:id="rId7" w:history="1">
              <w:r w:rsidRPr="001E6F72">
                <w:rPr>
                  <w:rStyle w:val="Hyperlink"/>
                </w:rPr>
                <w:t>mandatory guidance</w:t>
              </w:r>
            </w:hyperlink>
            <w:r w:rsidRPr="001E6F72">
              <w:t xml:space="preserve"> (https://www.theiia.org/en/standards/what-are-the-standards/mandatory-guidance/) of The Institute of Internal Auditors conformance with the IIA’s International Standards for the Professional Practice of Internal Auditing (Standards). The Standards, together with the Code of Ethics, encompass all mandatory elements of the International Professional Practices Framework; therefore, conformance with the Code of Ethics and the Standards demonstrates conformance with all mandatory elements of the International Professional Practices Framework.</w:t>
            </w:r>
          </w:p>
          <w:p w:rsidR="001E6F72" w:rsidRPr="001E6F72" w:rsidRDefault="001E6F72" w:rsidP="001E6F72"/>
          <w:p w:rsidR="001E6F72" w:rsidRPr="00223306" w:rsidRDefault="001E6F72" w:rsidP="001E6F72">
            <w:r w:rsidRPr="001E6F72">
              <w:t>MSRS has adopted the Green Book, prepared by the United Stated Government Accountability Office, as the standard for internal control (https://www.gao.gov/assets/gao-14-704g.pdf). MSRS uses the Green Book to design, implement, and operate internal controls to achieve our objectives related to operations, reporting, and compliance. All auditing professionals will have significant experience in applying Green Book principles.</w:t>
            </w:r>
          </w:p>
        </w:tc>
        <w:tc>
          <w:tcPr>
            <w:tcW w:w="1676" w:type="dxa"/>
            <w:shd w:val="pct20" w:color="auto" w:fill="auto"/>
          </w:tcPr>
          <w:p w:rsidR="001E6F72" w:rsidRPr="00223306" w:rsidRDefault="001E6F72" w:rsidP="001E6F72">
            <w:pPr>
              <w:jc w:val="right"/>
            </w:pPr>
          </w:p>
        </w:tc>
        <w:tc>
          <w:tcPr>
            <w:tcW w:w="1620" w:type="dxa"/>
            <w:shd w:val="pct20" w:color="auto" w:fill="auto"/>
          </w:tcPr>
          <w:p w:rsidR="001E6F72" w:rsidRPr="00223306" w:rsidRDefault="001E6F72" w:rsidP="001E6F72">
            <w:pPr>
              <w:jc w:val="right"/>
            </w:pPr>
          </w:p>
        </w:tc>
      </w:tr>
      <w:tr w:rsidR="001E6F72" w:rsidRPr="00223306" w:rsidTr="001E6F72">
        <w:trPr>
          <w:gridAfter w:val="1"/>
          <w:wAfter w:w="1727" w:type="dxa"/>
        </w:trPr>
        <w:tc>
          <w:tcPr>
            <w:tcW w:w="1368" w:type="dxa"/>
          </w:tcPr>
          <w:p w:rsidR="001E6F72" w:rsidRPr="00223306" w:rsidRDefault="001E6F72" w:rsidP="001E6F72">
            <w:pPr>
              <w:ind w:left="390" w:hanging="511"/>
              <w:jc w:val="center"/>
            </w:pPr>
          </w:p>
        </w:tc>
        <w:tc>
          <w:tcPr>
            <w:tcW w:w="5113" w:type="dxa"/>
          </w:tcPr>
          <w:p w:rsidR="001E6F72" w:rsidRPr="00223306" w:rsidRDefault="001E6F72" w:rsidP="001E6F72"/>
        </w:tc>
        <w:tc>
          <w:tcPr>
            <w:tcW w:w="1676" w:type="dxa"/>
            <w:shd w:val="pct20" w:color="auto" w:fill="auto"/>
          </w:tcPr>
          <w:p w:rsidR="001E6F72" w:rsidRPr="00223306" w:rsidRDefault="001E6F72" w:rsidP="001E6F72">
            <w:pPr>
              <w:jc w:val="right"/>
            </w:pPr>
          </w:p>
        </w:tc>
        <w:tc>
          <w:tcPr>
            <w:tcW w:w="1620" w:type="dxa"/>
            <w:shd w:val="pct20" w:color="auto" w:fill="auto"/>
          </w:tcPr>
          <w:p w:rsidR="001E6F72" w:rsidRPr="00223306" w:rsidRDefault="001E6F72" w:rsidP="001E6F72">
            <w:pPr>
              <w:jc w:val="right"/>
            </w:pPr>
          </w:p>
        </w:tc>
      </w:tr>
      <w:tr w:rsidR="001E6F72" w:rsidRPr="00223306" w:rsidTr="001E6F72">
        <w:trPr>
          <w:gridAfter w:val="1"/>
          <w:wAfter w:w="1727" w:type="dxa"/>
          <w:trHeight w:val="269"/>
        </w:trPr>
        <w:tc>
          <w:tcPr>
            <w:tcW w:w="1368" w:type="dxa"/>
            <w:tcBorders>
              <w:top w:val="nil"/>
              <w:left w:val="nil"/>
              <w:bottom w:val="nil"/>
              <w:right w:val="nil"/>
            </w:tcBorders>
            <w:shd w:val="clear" w:color="auto" w:fill="95B3D7" w:themeFill="accent1" w:themeFillTint="99"/>
          </w:tcPr>
          <w:p w:rsidR="001E6F72" w:rsidRPr="00223306" w:rsidRDefault="001E6F72" w:rsidP="001E6F72">
            <w:pPr>
              <w:jc w:val="center"/>
              <w:rPr>
                <w:b/>
              </w:rPr>
            </w:pPr>
          </w:p>
        </w:tc>
        <w:tc>
          <w:tcPr>
            <w:tcW w:w="5113" w:type="dxa"/>
            <w:tcBorders>
              <w:top w:val="nil"/>
              <w:left w:val="nil"/>
              <w:bottom w:val="nil"/>
              <w:right w:val="nil"/>
            </w:tcBorders>
            <w:shd w:val="clear" w:color="auto" w:fill="95B3D7" w:themeFill="accent1" w:themeFillTint="99"/>
          </w:tcPr>
          <w:p w:rsidR="001E6F72" w:rsidRPr="00223306" w:rsidRDefault="001E6F72" w:rsidP="001E6F72">
            <w:pPr>
              <w:rPr>
                <w:b/>
              </w:rPr>
            </w:pPr>
          </w:p>
        </w:tc>
        <w:tc>
          <w:tcPr>
            <w:tcW w:w="1676" w:type="dxa"/>
            <w:tcBorders>
              <w:top w:val="nil"/>
              <w:left w:val="nil"/>
              <w:bottom w:val="nil"/>
              <w:right w:val="nil"/>
            </w:tcBorders>
            <w:shd w:val="clear" w:color="auto" w:fill="95B3D7" w:themeFill="accent1" w:themeFillTint="99"/>
          </w:tcPr>
          <w:p w:rsidR="001E6F72" w:rsidRPr="004368A2" w:rsidRDefault="001E6F72" w:rsidP="001E6F72">
            <w:pPr>
              <w:rPr>
                <w:b/>
              </w:rPr>
            </w:pPr>
          </w:p>
        </w:tc>
        <w:tc>
          <w:tcPr>
            <w:tcW w:w="1620" w:type="dxa"/>
            <w:tcBorders>
              <w:top w:val="nil"/>
              <w:left w:val="nil"/>
              <w:bottom w:val="nil"/>
              <w:right w:val="nil"/>
            </w:tcBorders>
            <w:shd w:val="clear" w:color="auto" w:fill="95B3D7" w:themeFill="accent1" w:themeFillTint="99"/>
          </w:tcPr>
          <w:p w:rsidR="001E6F72" w:rsidRPr="004368A2" w:rsidRDefault="001E6F72" w:rsidP="001E6F72">
            <w:pPr>
              <w:rPr>
                <w:b/>
              </w:rPr>
            </w:pPr>
          </w:p>
        </w:tc>
      </w:tr>
      <w:tr w:rsidR="001E6F72" w:rsidRPr="00223306" w:rsidTr="001E6F72">
        <w:trPr>
          <w:gridAfter w:val="1"/>
          <w:wAfter w:w="1727" w:type="dxa"/>
        </w:trPr>
        <w:tc>
          <w:tcPr>
            <w:tcW w:w="1368" w:type="dxa"/>
            <w:tcBorders>
              <w:top w:val="nil"/>
            </w:tcBorders>
          </w:tcPr>
          <w:p w:rsidR="001E6F72" w:rsidRPr="00223306" w:rsidRDefault="001E6F72" w:rsidP="001E6F72">
            <w:pPr>
              <w:ind w:left="-121"/>
              <w:jc w:val="center"/>
            </w:pPr>
            <w:r>
              <w:rPr>
                <w:b/>
              </w:rPr>
              <w:t>Total Cost</w:t>
            </w:r>
          </w:p>
        </w:tc>
        <w:tc>
          <w:tcPr>
            <w:tcW w:w="5113" w:type="dxa"/>
            <w:tcBorders>
              <w:top w:val="nil"/>
              <w:right w:val="triple" w:sz="4" w:space="0" w:color="auto"/>
            </w:tcBorders>
          </w:tcPr>
          <w:p w:rsidR="001E6F72" w:rsidRPr="002A2C43" w:rsidRDefault="001E6F72" w:rsidP="001E6F72"/>
        </w:tc>
        <w:tc>
          <w:tcPr>
            <w:tcW w:w="1676" w:type="dxa"/>
            <w:tcBorders>
              <w:top w:val="triple" w:sz="4" w:space="0" w:color="auto"/>
              <w:left w:val="triple" w:sz="4" w:space="0" w:color="auto"/>
              <w:bottom w:val="triple" w:sz="4" w:space="0" w:color="auto"/>
              <w:right w:val="triple" w:sz="4" w:space="0" w:color="auto"/>
            </w:tcBorders>
            <w:shd w:val="clear" w:color="auto" w:fill="548DD4" w:themeFill="text2" w:themeFillTint="99"/>
          </w:tcPr>
          <w:p w:rsidR="001E6F72" w:rsidRPr="00223306" w:rsidRDefault="001E6F72" w:rsidP="001E6F72">
            <w:pPr>
              <w:jc w:val="right"/>
            </w:pPr>
          </w:p>
        </w:tc>
        <w:tc>
          <w:tcPr>
            <w:tcW w:w="1620" w:type="dxa"/>
            <w:tcBorders>
              <w:top w:val="triple" w:sz="4" w:space="0" w:color="auto"/>
              <w:left w:val="triple" w:sz="4" w:space="0" w:color="auto"/>
              <w:bottom w:val="triple" w:sz="4" w:space="0" w:color="auto"/>
              <w:right w:val="triple" w:sz="4" w:space="0" w:color="auto"/>
            </w:tcBorders>
            <w:shd w:val="clear" w:color="auto" w:fill="548DD4" w:themeFill="text2" w:themeFillTint="99"/>
          </w:tcPr>
          <w:p w:rsidR="001E6F72" w:rsidRPr="00223306" w:rsidRDefault="001E6F72" w:rsidP="001E6F72">
            <w:pPr>
              <w:jc w:val="right"/>
            </w:pPr>
          </w:p>
        </w:tc>
      </w:tr>
      <w:tr w:rsidR="001E6F72" w:rsidRPr="00223306" w:rsidTr="001E6F72">
        <w:trPr>
          <w:gridAfter w:val="1"/>
          <w:wAfter w:w="1727" w:type="dxa"/>
        </w:trPr>
        <w:tc>
          <w:tcPr>
            <w:tcW w:w="1368" w:type="dxa"/>
            <w:tcBorders>
              <w:top w:val="nil"/>
              <w:left w:val="nil"/>
              <w:bottom w:val="nil"/>
              <w:right w:val="nil"/>
            </w:tcBorders>
            <w:shd w:val="clear" w:color="auto" w:fill="95B3D7" w:themeFill="accent1" w:themeFillTint="99"/>
          </w:tcPr>
          <w:p w:rsidR="001E6F72" w:rsidRPr="00223306" w:rsidRDefault="001E6F72" w:rsidP="001E6F72">
            <w:pPr>
              <w:ind w:left="-121"/>
              <w:jc w:val="center"/>
            </w:pPr>
          </w:p>
        </w:tc>
        <w:tc>
          <w:tcPr>
            <w:tcW w:w="5113" w:type="dxa"/>
            <w:tcBorders>
              <w:top w:val="nil"/>
              <w:left w:val="nil"/>
              <w:bottom w:val="nil"/>
              <w:right w:val="nil"/>
            </w:tcBorders>
            <w:shd w:val="clear" w:color="auto" w:fill="95B3D7" w:themeFill="accent1" w:themeFillTint="99"/>
          </w:tcPr>
          <w:p w:rsidR="001E6F72" w:rsidRPr="00C954A9" w:rsidRDefault="001E6F72" w:rsidP="001E6F72"/>
        </w:tc>
        <w:tc>
          <w:tcPr>
            <w:tcW w:w="1676" w:type="dxa"/>
            <w:tcBorders>
              <w:top w:val="nil"/>
              <w:left w:val="nil"/>
              <w:bottom w:val="nil"/>
              <w:right w:val="nil"/>
            </w:tcBorders>
            <w:shd w:val="clear" w:color="auto" w:fill="95B3D7" w:themeFill="accent1" w:themeFillTint="99"/>
          </w:tcPr>
          <w:p w:rsidR="001E6F72" w:rsidRPr="00223306" w:rsidRDefault="001E6F72" w:rsidP="001E6F72">
            <w:pPr>
              <w:jc w:val="right"/>
            </w:pPr>
          </w:p>
        </w:tc>
        <w:tc>
          <w:tcPr>
            <w:tcW w:w="1620" w:type="dxa"/>
            <w:tcBorders>
              <w:top w:val="nil"/>
              <w:left w:val="nil"/>
              <w:bottom w:val="nil"/>
              <w:right w:val="nil"/>
            </w:tcBorders>
            <w:shd w:val="clear" w:color="auto" w:fill="95B3D7" w:themeFill="accent1" w:themeFillTint="99"/>
          </w:tcPr>
          <w:p w:rsidR="001E6F72" w:rsidRPr="00223306" w:rsidRDefault="001E6F72" w:rsidP="001E6F72">
            <w:pPr>
              <w:jc w:val="right"/>
            </w:pPr>
          </w:p>
        </w:tc>
      </w:tr>
      <w:tr w:rsidR="001E6F72" w:rsidRPr="00223306" w:rsidTr="001E6F72">
        <w:tc>
          <w:tcPr>
            <w:tcW w:w="1368" w:type="dxa"/>
            <w:tcBorders>
              <w:top w:val="nil"/>
            </w:tcBorders>
          </w:tcPr>
          <w:p w:rsidR="001E6F72" w:rsidRPr="00D748B5" w:rsidRDefault="001E6F72" w:rsidP="001E6F72">
            <w:pPr>
              <w:ind w:left="-121"/>
              <w:jc w:val="center"/>
              <w:rPr>
                <w:b/>
              </w:rPr>
            </w:pPr>
          </w:p>
        </w:tc>
        <w:tc>
          <w:tcPr>
            <w:tcW w:w="5113" w:type="dxa"/>
            <w:tcBorders>
              <w:top w:val="nil"/>
              <w:right w:val="triple" w:sz="4" w:space="0" w:color="auto"/>
            </w:tcBorders>
          </w:tcPr>
          <w:p w:rsidR="001E6F72" w:rsidRPr="00B103B0" w:rsidRDefault="001E6F72" w:rsidP="001E6F72">
            <w:pPr>
              <w:rPr>
                <w:i/>
              </w:rPr>
            </w:pPr>
          </w:p>
        </w:tc>
        <w:tc>
          <w:tcPr>
            <w:tcW w:w="1676" w:type="dxa"/>
            <w:tcBorders>
              <w:top w:val="triple" w:sz="4" w:space="0" w:color="auto"/>
              <w:left w:val="triple" w:sz="4" w:space="0" w:color="auto"/>
              <w:bottom w:val="triple" w:sz="4" w:space="0" w:color="auto"/>
              <w:right w:val="triple" w:sz="4" w:space="0" w:color="auto"/>
            </w:tcBorders>
            <w:shd w:val="clear" w:color="auto" w:fill="548DD4" w:themeFill="text2" w:themeFillTint="99"/>
          </w:tcPr>
          <w:p w:rsidR="001E6F72" w:rsidRPr="00223306" w:rsidRDefault="001E6F72" w:rsidP="001E6F72">
            <w:pPr>
              <w:jc w:val="right"/>
            </w:pPr>
          </w:p>
        </w:tc>
        <w:tc>
          <w:tcPr>
            <w:tcW w:w="1620" w:type="dxa"/>
            <w:tcBorders>
              <w:top w:val="triple" w:sz="4" w:space="0" w:color="auto"/>
              <w:left w:val="triple" w:sz="4" w:space="0" w:color="auto"/>
              <w:bottom w:val="triple" w:sz="4" w:space="0" w:color="auto"/>
              <w:right w:val="triple" w:sz="4" w:space="0" w:color="auto"/>
            </w:tcBorders>
            <w:shd w:val="clear" w:color="auto" w:fill="548DD4" w:themeFill="text2" w:themeFillTint="99"/>
          </w:tcPr>
          <w:p w:rsidR="001E6F72" w:rsidRPr="00223306" w:rsidRDefault="001E6F72" w:rsidP="001E6F72">
            <w:pPr>
              <w:jc w:val="right"/>
            </w:pPr>
          </w:p>
        </w:tc>
        <w:tc>
          <w:tcPr>
            <w:tcW w:w="1727" w:type="dxa"/>
            <w:tcBorders>
              <w:top w:val="triple" w:sz="4" w:space="0" w:color="auto"/>
              <w:left w:val="triple" w:sz="4" w:space="0" w:color="auto"/>
              <w:bottom w:val="triple" w:sz="4" w:space="0" w:color="auto"/>
              <w:right w:val="triple" w:sz="4" w:space="0" w:color="auto"/>
            </w:tcBorders>
            <w:shd w:val="clear" w:color="auto" w:fill="FABF8F" w:themeFill="accent6" w:themeFillTint="99"/>
          </w:tcPr>
          <w:p w:rsidR="001E6F72" w:rsidRPr="00223306" w:rsidRDefault="001E6F72" w:rsidP="001E6F72">
            <w:pPr>
              <w:jc w:val="center"/>
            </w:pPr>
          </w:p>
        </w:tc>
      </w:tr>
    </w:tbl>
    <w:p w:rsidR="00B049DE" w:rsidRPr="0059623C" w:rsidRDefault="0059623C" w:rsidP="0059623C">
      <w:pPr>
        <w:spacing w:after="0" w:line="240" w:lineRule="auto"/>
        <w:ind w:left="720" w:firstLine="720"/>
        <w:rPr>
          <w:b/>
        </w:rPr>
      </w:pPr>
      <w:r>
        <w:rPr>
          <w:b/>
          <w:sz w:val="24"/>
          <w:szCs w:val="24"/>
        </w:rPr>
        <w:t xml:space="preserve">    </w:t>
      </w:r>
      <w:r w:rsidR="007C1AA2">
        <w:rPr>
          <w:b/>
          <w:sz w:val="24"/>
          <w:szCs w:val="24"/>
        </w:rPr>
        <w:t xml:space="preserve"> </w:t>
      </w:r>
      <w:r w:rsidR="00831F7B">
        <w:rPr>
          <w:b/>
          <w:sz w:val="24"/>
          <w:szCs w:val="24"/>
        </w:rPr>
        <w:tab/>
      </w:r>
      <w:r w:rsidR="00831F7B">
        <w:rPr>
          <w:b/>
          <w:sz w:val="24"/>
          <w:szCs w:val="24"/>
        </w:rPr>
        <w:tab/>
      </w:r>
      <w:r w:rsidR="00831F7B">
        <w:rPr>
          <w:b/>
          <w:sz w:val="24"/>
          <w:szCs w:val="24"/>
        </w:rPr>
        <w:tab/>
      </w:r>
      <w:r w:rsidR="00831F7B">
        <w:rPr>
          <w:b/>
          <w:sz w:val="24"/>
          <w:szCs w:val="24"/>
        </w:rPr>
        <w:tab/>
      </w:r>
      <w:r w:rsidR="00831F7B">
        <w:rPr>
          <w:b/>
          <w:sz w:val="24"/>
          <w:szCs w:val="24"/>
        </w:rPr>
        <w:tab/>
      </w:r>
      <w:r w:rsidR="00831F7B">
        <w:rPr>
          <w:b/>
          <w:sz w:val="24"/>
          <w:szCs w:val="24"/>
        </w:rPr>
        <w:tab/>
      </w:r>
      <w:r w:rsidR="00831F7B">
        <w:rPr>
          <w:b/>
          <w:sz w:val="24"/>
          <w:szCs w:val="24"/>
        </w:rPr>
        <w:tab/>
      </w:r>
      <w:r w:rsidR="00831F7B">
        <w:rPr>
          <w:b/>
          <w:sz w:val="24"/>
          <w:szCs w:val="24"/>
        </w:rPr>
        <w:tab/>
      </w:r>
      <w:r w:rsidR="00831F7B">
        <w:rPr>
          <w:b/>
          <w:sz w:val="24"/>
          <w:szCs w:val="24"/>
        </w:rPr>
        <w:tab/>
      </w:r>
      <w:r w:rsidR="00831F7B">
        <w:rPr>
          <w:b/>
          <w:sz w:val="24"/>
          <w:szCs w:val="24"/>
        </w:rPr>
        <w:tab/>
      </w:r>
      <w:r w:rsidR="00831F7B">
        <w:rPr>
          <w:b/>
          <w:sz w:val="24"/>
          <w:szCs w:val="24"/>
        </w:rPr>
        <w:tab/>
      </w:r>
      <w:r w:rsidR="00831F7B">
        <w:rPr>
          <w:b/>
          <w:sz w:val="24"/>
          <w:szCs w:val="24"/>
        </w:rPr>
        <w:tab/>
      </w:r>
      <w:r w:rsidR="00BF1E06">
        <w:rPr>
          <w:b/>
        </w:rPr>
        <w:t>Total Cost 2</w:t>
      </w:r>
      <w:r w:rsidRPr="0059623C">
        <w:rPr>
          <w:b/>
        </w:rPr>
        <w:t xml:space="preserve"> y</w:t>
      </w:r>
      <w:r w:rsidR="00BB6F06" w:rsidRPr="0059623C">
        <w:rPr>
          <w:b/>
        </w:rPr>
        <w:t>ears</w:t>
      </w:r>
    </w:p>
    <w:p w:rsidR="00A16FFE" w:rsidRDefault="00A16FFE" w:rsidP="004368A2">
      <w:pPr>
        <w:spacing w:after="0" w:line="240" w:lineRule="auto"/>
        <w:rPr>
          <w:b/>
          <w:sz w:val="28"/>
          <w:szCs w:val="28"/>
        </w:rPr>
      </w:pPr>
    </w:p>
    <w:p w:rsidR="004368A2" w:rsidRPr="00B049DE" w:rsidRDefault="004368A2" w:rsidP="00830CEB">
      <w:pPr>
        <w:rPr>
          <w:b/>
          <w:sz w:val="28"/>
          <w:szCs w:val="28"/>
        </w:rPr>
      </w:pPr>
      <w:bookmarkStart w:id="2" w:name="_GoBack"/>
      <w:bookmarkEnd w:id="2"/>
    </w:p>
    <w:sectPr w:rsidR="004368A2" w:rsidRPr="00B049DE" w:rsidSect="008A54BA">
      <w:footerReference w:type="default" r:id="rId8"/>
      <w:pgSz w:w="15840" w:h="12240" w:orient="landscape" w:code="1"/>
      <w:pgMar w:top="1260" w:right="1440" w:bottom="1440"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5F24" w:rsidRDefault="00725F24" w:rsidP="00830CEB">
      <w:pPr>
        <w:spacing w:after="0" w:line="240" w:lineRule="auto"/>
      </w:pPr>
      <w:r>
        <w:separator/>
      </w:r>
    </w:p>
  </w:endnote>
  <w:endnote w:type="continuationSeparator" w:id="0">
    <w:p w:rsidR="00725F24" w:rsidRDefault="00725F24" w:rsidP="00830C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F24" w:rsidRPr="003738E1" w:rsidRDefault="00725F24" w:rsidP="00830CEB">
    <w:pPr>
      <w:pStyle w:val="Footer"/>
      <w:tabs>
        <w:tab w:val="clear" w:pos="4680"/>
        <w:tab w:val="clear" w:pos="9360"/>
        <w:tab w:val="right" w:pos="12870"/>
      </w:tabs>
      <w:rPr>
        <w:sz w:val="16"/>
        <w:szCs w:val="16"/>
      </w:rPr>
    </w:pPr>
    <w:r w:rsidRPr="00830CEB">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5F24" w:rsidRDefault="00725F24" w:rsidP="00830CEB">
      <w:pPr>
        <w:spacing w:after="0" w:line="240" w:lineRule="auto"/>
      </w:pPr>
      <w:r>
        <w:separator/>
      </w:r>
    </w:p>
  </w:footnote>
  <w:footnote w:type="continuationSeparator" w:id="0">
    <w:p w:rsidR="00725F24" w:rsidRDefault="00725F24" w:rsidP="00830C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F81B6A"/>
    <w:multiLevelType w:val="hybridMultilevel"/>
    <w:tmpl w:val="E06ACD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E496EA9"/>
    <w:multiLevelType w:val="hybridMultilevel"/>
    <w:tmpl w:val="450C45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EC041C5"/>
    <w:multiLevelType w:val="multilevel"/>
    <w:tmpl w:val="C94E404E"/>
    <w:lvl w:ilvl="0">
      <w:start w:val="2"/>
      <w:numFmt w:val="decimal"/>
      <w:lvlText w:val="%1"/>
      <w:lvlJc w:val="left"/>
      <w:pPr>
        <w:ind w:left="980" w:hanging="721"/>
        <w:jc w:val="left"/>
      </w:pPr>
      <w:rPr>
        <w:rFonts w:hint="default"/>
        <w:lang w:val="en-US" w:eastAsia="en-US" w:bidi="ar-SA"/>
      </w:rPr>
    </w:lvl>
    <w:lvl w:ilvl="1">
      <w:start w:val="1"/>
      <w:numFmt w:val="decimal"/>
      <w:lvlText w:val="%1.%2."/>
      <w:lvlJc w:val="left"/>
      <w:pPr>
        <w:ind w:left="980" w:hanging="721"/>
        <w:jc w:val="left"/>
      </w:pPr>
      <w:rPr>
        <w:rFonts w:ascii="Calibri" w:eastAsia="Calibri" w:hAnsi="Calibri" w:cs="Calibri" w:hint="default"/>
        <w:b w:val="0"/>
        <w:bCs w:val="0"/>
        <w:i w:val="0"/>
        <w:iCs w:val="0"/>
        <w:spacing w:val="-1"/>
        <w:w w:val="100"/>
        <w:sz w:val="22"/>
        <w:szCs w:val="22"/>
        <w:lang w:val="en-US" w:eastAsia="en-US" w:bidi="ar-SA"/>
      </w:rPr>
    </w:lvl>
    <w:lvl w:ilvl="2">
      <w:numFmt w:val="bullet"/>
      <w:lvlText w:val="•"/>
      <w:lvlJc w:val="left"/>
      <w:pPr>
        <w:ind w:left="800" w:hanging="269"/>
      </w:pPr>
      <w:rPr>
        <w:rFonts w:ascii="Calibri" w:eastAsia="Calibri" w:hAnsi="Calibri" w:cs="Calibri" w:hint="default"/>
        <w:b w:val="0"/>
        <w:bCs w:val="0"/>
        <w:i w:val="0"/>
        <w:iCs w:val="0"/>
        <w:w w:val="100"/>
        <w:sz w:val="22"/>
        <w:szCs w:val="22"/>
        <w:lang w:val="en-US" w:eastAsia="en-US" w:bidi="ar-SA"/>
      </w:rPr>
    </w:lvl>
    <w:lvl w:ilvl="3">
      <w:numFmt w:val="bullet"/>
      <w:lvlText w:val="o"/>
      <w:lvlJc w:val="left"/>
      <w:pPr>
        <w:ind w:left="1791" w:hanging="360"/>
      </w:pPr>
      <w:rPr>
        <w:rFonts w:ascii="Courier New" w:eastAsia="Courier New" w:hAnsi="Courier New" w:cs="Courier New" w:hint="default"/>
        <w:b w:val="0"/>
        <w:bCs w:val="0"/>
        <w:i w:val="0"/>
        <w:iCs w:val="0"/>
        <w:w w:val="100"/>
        <w:sz w:val="22"/>
        <w:szCs w:val="22"/>
        <w:lang w:val="en-US" w:eastAsia="en-US" w:bidi="ar-SA"/>
      </w:rPr>
    </w:lvl>
    <w:lvl w:ilvl="4">
      <w:numFmt w:val="bullet"/>
      <w:lvlText w:val="•"/>
      <w:lvlJc w:val="left"/>
      <w:pPr>
        <w:ind w:left="4200" w:hanging="360"/>
      </w:pPr>
      <w:rPr>
        <w:rFonts w:hint="default"/>
        <w:lang w:val="en-US" w:eastAsia="en-US" w:bidi="ar-SA"/>
      </w:rPr>
    </w:lvl>
    <w:lvl w:ilvl="5">
      <w:numFmt w:val="bullet"/>
      <w:lvlText w:val="•"/>
      <w:lvlJc w:val="left"/>
      <w:pPr>
        <w:ind w:left="5400" w:hanging="360"/>
      </w:pPr>
      <w:rPr>
        <w:rFonts w:hint="default"/>
        <w:lang w:val="en-US" w:eastAsia="en-US" w:bidi="ar-SA"/>
      </w:rPr>
    </w:lvl>
    <w:lvl w:ilvl="6">
      <w:numFmt w:val="bullet"/>
      <w:lvlText w:val="•"/>
      <w:lvlJc w:val="left"/>
      <w:pPr>
        <w:ind w:left="6600" w:hanging="360"/>
      </w:pPr>
      <w:rPr>
        <w:rFonts w:hint="default"/>
        <w:lang w:val="en-US" w:eastAsia="en-US" w:bidi="ar-SA"/>
      </w:rPr>
    </w:lvl>
    <w:lvl w:ilvl="7">
      <w:numFmt w:val="bullet"/>
      <w:lvlText w:val="•"/>
      <w:lvlJc w:val="left"/>
      <w:pPr>
        <w:ind w:left="7800" w:hanging="360"/>
      </w:pPr>
      <w:rPr>
        <w:rFonts w:hint="default"/>
        <w:lang w:val="en-US" w:eastAsia="en-US" w:bidi="ar-SA"/>
      </w:rPr>
    </w:lvl>
    <w:lvl w:ilvl="8">
      <w:numFmt w:val="bullet"/>
      <w:lvlText w:val="•"/>
      <w:lvlJc w:val="left"/>
      <w:pPr>
        <w:ind w:left="9000" w:hanging="360"/>
      </w:pPr>
      <w:rPr>
        <w:rFonts w:hint="default"/>
        <w:lang w:val="en-US"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2"/>
  </w:compat>
  <w:rsids>
    <w:rsidRoot w:val="003A48A9"/>
    <w:rsid w:val="00000E39"/>
    <w:rsid w:val="0001209E"/>
    <w:rsid w:val="00015F6E"/>
    <w:rsid w:val="00021838"/>
    <w:rsid w:val="000232C9"/>
    <w:rsid w:val="00060E3C"/>
    <w:rsid w:val="00064C1B"/>
    <w:rsid w:val="00081EAC"/>
    <w:rsid w:val="00093CDC"/>
    <w:rsid w:val="000A6FDB"/>
    <w:rsid w:val="000E4368"/>
    <w:rsid w:val="000F5417"/>
    <w:rsid w:val="00107760"/>
    <w:rsid w:val="00111716"/>
    <w:rsid w:val="00114B9C"/>
    <w:rsid w:val="00120D5E"/>
    <w:rsid w:val="00136DCE"/>
    <w:rsid w:val="00143C66"/>
    <w:rsid w:val="00153E93"/>
    <w:rsid w:val="001602F3"/>
    <w:rsid w:val="00177C3B"/>
    <w:rsid w:val="00185394"/>
    <w:rsid w:val="0019128E"/>
    <w:rsid w:val="001A529C"/>
    <w:rsid w:val="001A57E7"/>
    <w:rsid w:val="001A766D"/>
    <w:rsid w:val="001B20CF"/>
    <w:rsid w:val="001B5E2A"/>
    <w:rsid w:val="001D46E9"/>
    <w:rsid w:val="001E6F72"/>
    <w:rsid w:val="00203ABE"/>
    <w:rsid w:val="00210C32"/>
    <w:rsid w:val="00212D6D"/>
    <w:rsid w:val="002157F0"/>
    <w:rsid w:val="002172ED"/>
    <w:rsid w:val="00223306"/>
    <w:rsid w:val="0024541F"/>
    <w:rsid w:val="0026339C"/>
    <w:rsid w:val="002639FD"/>
    <w:rsid w:val="002723E0"/>
    <w:rsid w:val="00285F5C"/>
    <w:rsid w:val="00286F80"/>
    <w:rsid w:val="00291203"/>
    <w:rsid w:val="0029310E"/>
    <w:rsid w:val="002A0C66"/>
    <w:rsid w:val="002A2C43"/>
    <w:rsid w:val="002A7F3F"/>
    <w:rsid w:val="002B003F"/>
    <w:rsid w:val="002B7999"/>
    <w:rsid w:val="002C2C84"/>
    <w:rsid w:val="002C701B"/>
    <w:rsid w:val="002D79FF"/>
    <w:rsid w:val="002E53B4"/>
    <w:rsid w:val="002E64C2"/>
    <w:rsid w:val="002F5009"/>
    <w:rsid w:val="0031083C"/>
    <w:rsid w:val="00314601"/>
    <w:rsid w:val="00316EF5"/>
    <w:rsid w:val="00324BA7"/>
    <w:rsid w:val="003251DE"/>
    <w:rsid w:val="0032583F"/>
    <w:rsid w:val="00327C6A"/>
    <w:rsid w:val="003335E2"/>
    <w:rsid w:val="00342AA5"/>
    <w:rsid w:val="00343722"/>
    <w:rsid w:val="00343D4C"/>
    <w:rsid w:val="003500E3"/>
    <w:rsid w:val="00370AE8"/>
    <w:rsid w:val="003738E1"/>
    <w:rsid w:val="00385400"/>
    <w:rsid w:val="003860E0"/>
    <w:rsid w:val="00393263"/>
    <w:rsid w:val="00394B08"/>
    <w:rsid w:val="003971D9"/>
    <w:rsid w:val="003A00F9"/>
    <w:rsid w:val="003A48A9"/>
    <w:rsid w:val="003C5F81"/>
    <w:rsid w:val="003D5E91"/>
    <w:rsid w:val="003E381C"/>
    <w:rsid w:val="003E6187"/>
    <w:rsid w:val="003E77AD"/>
    <w:rsid w:val="003F0282"/>
    <w:rsid w:val="003F6117"/>
    <w:rsid w:val="00405BAA"/>
    <w:rsid w:val="00406BD2"/>
    <w:rsid w:val="004368A2"/>
    <w:rsid w:val="00465241"/>
    <w:rsid w:val="004717D1"/>
    <w:rsid w:val="0047783E"/>
    <w:rsid w:val="00495449"/>
    <w:rsid w:val="004A0D13"/>
    <w:rsid w:val="004A5427"/>
    <w:rsid w:val="004A6140"/>
    <w:rsid w:val="004A663F"/>
    <w:rsid w:val="004C27C7"/>
    <w:rsid w:val="004C5B7C"/>
    <w:rsid w:val="004E6CEC"/>
    <w:rsid w:val="0050528E"/>
    <w:rsid w:val="00527E4F"/>
    <w:rsid w:val="00532C7D"/>
    <w:rsid w:val="00545303"/>
    <w:rsid w:val="0055737F"/>
    <w:rsid w:val="00560406"/>
    <w:rsid w:val="00571D37"/>
    <w:rsid w:val="00577B2C"/>
    <w:rsid w:val="00580AA8"/>
    <w:rsid w:val="00593F28"/>
    <w:rsid w:val="0059623C"/>
    <w:rsid w:val="00596E5E"/>
    <w:rsid w:val="0059706D"/>
    <w:rsid w:val="005A42DF"/>
    <w:rsid w:val="005B1598"/>
    <w:rsid w:val="005D337D"/>
    <w:rsid w:val="005F1E67"/>
    <w:rsid w:val="005F6CC8"/>
    <w:rsid w:val="00602EC7"/>
    <w:rsid w:val="00606084"/>
    <w:rsid w:val="00610A85"/>
    <w:rsid w:val="00612641"/>
    <w:rsid w:val="00615D1E"/>
    <w:rsid w:val="00617310"/>
    <w:rsid w:val="00634C22"/>
    <w:rsid w:val="0064234F"/>
    <w:rsid w:val="00642A88"/>
    <w:rsid w:val="006441E2"/>
    <w:rsid w:val="006714CD"/>
    <w:rsid w:val="00676A56"/>
    <w:rsid w:val="00682351"/>
    <w:rsid w:val="0069449B"/>
    <w:rsid w:val="00694A7F"/>
    <w:rsid w:val="006A3CCE"/>
    <w:rsid w:val="006A3CEF"/>
    <w:rsid w:val="006B2457"/>
    <w:rsid w:val="006B547E"/>
    <w:rsid w:val="006D3620"/>
    <w:rsid w:val="006D77DD"/>
    <w:rsid w:val="006E40CB"/>
    <w:rsid w:val="006E7598"/>
    <w:rsid w:val="00702509"/>
    <w:rsid w:val="00706236"/>
    <w:rsid w:val="007169FA"/>
    <w:rsid w:val="00720751"/>
    <w:rsid w:val="00725F24"/>
    <w:rsid w:val="0075178B"/>
    <w:rsid w:val="00765CB1"/>
    <w:rsid w:val="007820F6"/>
    <w:rsid w:val="00792717"/>
    <w:rsid w:val="007A19FE"/>
    <w:rsid w:val="007A6B6B"/>
    <w:rsid w:val="007B3D92"/>
    <w:rsid w:val="007B3F97"/>
    <w:rsid w:val="007B45B4"/>
    <w:rsid w:val="007B7DD0"/>
    <w:rsid w:val="007C1AA2"/>
    <w:rsid w:val="007C30AC"/>
    <w:rsid w:val="007D3077"/>
    <w:rsid w:val="007F06EB"/>
    <w:rsid w:val="007F1129"/>
    <w:rsid w:val="007F40CB"/>
    <w:rsid w:val="007F5734"/>
    <w:rsid w:val="00805BB2"/>
    <w:rsid w:val="00810D96"/>
    <w:rsid w:val="008152E7"/>
    <w:rsid w:val="008238D6"/>
    <w:rsid w:val="00826EFA"/>
    <w:rsid w:val="00830CEB"/>
    <w:rsid w:val="00831F7B"/>
    <w:rsid w:val="008412FF"/>
    <w:rsid w:val="00852723"/>
    <w:rsid w:val="00861162"/>
    <w:rsid w:val="00863B7E"/>
    <w:rsid w:val="0087429C"/>
    <w:rsid w:val="00875B65"/>
    <w:rsid w:val="00894966"/>
    <w:rsid w:val="008A54BA"/>
    <w:rsid w:val="008B1A73"/>
    <w:rsid w:val="008B4C3E"/>
    <w:rsid w:val="008E4EDD"/>
    <w:rsid w:val="008F550F"/>
    <w:rsid w:val="0090604D"/>
    <w:rsid w:val="00911039"/>
    <w:rsid w:val="00925969"/>
    <w:rsid w:val="00930E64"/>
    <w:rsid w:val="00940849"/>
    <w:rsid w:val="00940860"/>
    <w:rsid w:val="009459DF"/>
    <w:rsid w:val="00955CFA"/>
    <w:rsid w:val="009A298E"/>
    <w:rsid w:val="009A7861"/>
    <w:rsid w:val="009B3A20"/>
    <w:rsid w:val="009B3B5E"/>
    <w:rsid w:val="009B5B80"/>
    <w:rsid w:val="009D5238"/>
    <w:rsid w:val="009E62FF"/>
    <w:rsid w:val="009E6735"/>
    <w:rsid w:val="009E7CB3"/>
    <w:rsid w:val="00A1232E"/>
    <w:rsid w:val="00A15DB7"/>
    <w:rsid w:val="00A16FFE"/>
    <w:rsid w:val="00A33ED9"/>
    <w:rsid w:val="00A42CC8"/>
    <w:rsid w:val="00A42E42"/>
    <w:rsid w:val="00A43032"/>
    <w:rsid w:val="00A451E5"/>
    <w:rsid w:val="00A51C82"/>
    <w:rsid w:val="00A72F46"/>
    <w:rsid w:val="00A73170"/>
    <w:rsid w:val="00A96928"/>
    <w:rsid w:val="00AA39B7"/>
    <w:rsid w:val="00AB0B91"/>
    <w:rsid w:val="00AC37D0"/>
    <w:rsid w:val="00AD6FBF"/>
    <w:rsid w:val="00AE3D57"/>
    <w:rsid w:val="00AE447A"/>
    <w:rsid w:val="00AF2513"/>
    <w:rsid w:val="00B01F4D"/>
    <w:rsid w:val="00B03D06"/>
    <w:rsid w:val="00B049DE"/>
    <w:rsid w:val="00B0665E"/>
    <w:rsid w:val="00B103B0"/>
    <w:rsid w:val="00B25352"/>
    <w:rsid w:val="00B33344"/>
    <w:rsid w:val="00B41F4C"/>
    <w:rsid w:val="00B53862"/>
    <w:rsid w:val="00B67FDB"/>
    <w:rsid w:val="00B866B7"/>
    <w:rsid w:val="00B86A73"/>
    <w:rsid w:val="00BA1476"/>
    <w:rsid w:val="00BA59F3"/>
    <w:rsid w:val="00BB0F3D"/>
    <w:rsid w:val="00BB28D4"/>
    <w:rsid w:val="00BB6BE2"/>
    <w:rsid w:val="00BB6F06"/>
    <w:rsid w:val="00BC16A6"/>
    <w:rsid w:val="00BC7DB7"/>
    <w:rsid w:val="00BD4728"/>
    <w:rsid w:val="00BF1E06"/>
    <w:rsid w:val="00BF5EC6"/>
    <w:rsid w:val="00C13B39"/>
    <w:rsid w:val="00C27DA1"/>
    <w:rsid w:val="00C32015"/>
    <w:rsid w:val="00C4175B"/>
    <w:rsid w:val="00C41E41"/>
    <w:rsid w:val="00C505F8"/>
    <w:rsid w:val="00C726DD"/>
    <w:rsid w:val="00C8484A"/>
    <w:rsid w:val="00C92AE4"/>
    <w:rsid w:val="00C954A9"/>
    <w:rsid w:val="00C975F9"/>
    <w:rsid w:val="00CA4161"/>
    <w:rsid w:val="00CB1D36"/>
    <w:rsid w:val="00CC2D98"/>
    <w:rsid w:val="00CC69FE"/>
    <w:rsid w:val="00CD4B97"/>
    <w:rsid w:val="00CD6A90"/>
    <w:rsid w:val="00CF099C"/>
    <w:rsid w:val="00CF31E6"/>
    <w:rsid w:val="00CF5ECC"/>
    <w:rsid w:val="00D058DB"/>
    <w:rsid w:val="00D1372D"/>
    <w:rsid w:val="00D16C0C"/>
    <w:rsid w:val="00D67A5F"/>
    <w:rsid w:val="00D748B5"/>
    <w:rsid w:val="00D76FDD"/>
    <w:rsid w:val="00D8023C"/>
    <w:rsid w:val="00D95692"/>
    <w:rsid w:val="00DA5260"/>
    <w:rsid w:val="00DB393D"/>
    <w:rsid w:val="00DB561C"/>
    <w:rsid w:val="00DC0198"/>
    <w:rsid w:val="00DD5D7B"/>
    <w:rsid w:val="00DD79AE"/>
    <w:rsid w:val="00DE4A84"/>
    <w:rsid w:val="00DF4C46"/>
    <w:rsid w:val="00DF7E2E"/>
    <w:rsid w:val="00E006FC"/>
    <w:rsid w:val="00E0737B"/>
    <w:rsid w:val="00E12471"/>
    <w:rsid w:val="00E24917"/>
    <w:rsid w:val="00E25FFA"/>
    <w:rsid w:val="00E34ACD"/>
    <w:rsid w:val="00E62F5E"/>
    <w:rsid w:val="00E637E2"/>
    <w:rsid w:val="00E67029"/>
    <w:rsid w:val="00E70698"/>
    <w:rsid w:val="00E72CCB"/>
    <w:rsid w:val="00E82C63"/>
    <w:rsid w:val="00E834E4"/>
    <w:rsid w:val="00EB2BE1"/>
    <w:rsid w:val="00EB7006"/>
    <w:rsid w:val="00EC4636"/>
    <w:rsid w:val="00EE2AF9"/>
    <w:rsid w:val="00EE53BA"/>
    <w:rsid w:val="00F2097E"/>
    <w:rsid w:val="00F25875"/>
    <w:rsid w:val="00F309B2"/>
    <w:rsid w:val="00F41073"/>
    <w:rsid w:val="00F479F6"/>
    <w:rsid w:val="00F60C61"/>
    <w:rsid w:val="00F63BE7"/>
    <w:rsid w:val="00F6546E"/>
    <w:rsid w:val="00F65DE0"/>
    <w:rsid w:val="00F94981"/>
    <w:rsid w:val="00FA3053"/>
    <w:rsid w:val="00FB68F6"/>
    <w:rsid w:val="00FD44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5E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49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B049DE"/>
    <w:pPr>
      <w:ind w:left="720"/>
      <w:contextualSpacing/>
    </w:pPr>
  </w:style>
  <w:style w:type="paragraph" w:styleId="BalloonText">
    <w:name w:val="Balloon Text"/>
    <w:basedOn w:val="Normal"/>
    <w:link w:val="BalloonTextChar"/>
    <w:uiPriority w:val="99"/>
    <w:semiHidden/>
    <w:unhideWhenUsed/>
    <w:rsid w:val="003854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5400"/>
    <w:rPr>
      <w:rFonts w:ascii="Tahoma" w:hAnsi="Tahoma" w:cs="Tahoma"/>
      <w:sz w:val="16"/>
      <w:szCs w:val="16"/>
    </w:rPr>
  </w:style>
  <w:style w:type="paragraph" w:styleId="Header">
    <w:name w:val="header"/>
    <w:basedOn w:val="Normal"/>
    <w:link w:val="HeaderChar"/>
    <w:uiPriority w:val="99"/>
    <w:unhideWhenUsed/>
    <w:rsid w:val="00830C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0CEB"/>
  </w:style>
  <w:style w:type="paragraph" w:styleId="Footer">
    <w:name w:val="footer"/>
    <w:basedOn w:val="Normal"/>
    <w:link w:val="FooterChar"/>
    <w:uiPriority w:val="99"/>
    <w:unhideWhenUsed/>
    <w:rsid w:val="00830C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0CEB"/>
  </w:style>
  <w:style w:type="paragraph" w:styleId="Title">
    <w:name w:val="Title"/>
    <w:basedOn w:val="Normal"/>
    <w:next w:val="Normal"/>
    <w:link w:val="TitleChar"/>
    <w:qFormat/>
    <w:rsid w:val="002B003F"/>
    <w:pPr>
      <w:keepNext/>
      <w:spacing w:after="240" w:line="240" w:lineRule="auto"/>
      <w:jc w:val="center"/>
    </w:pPr>
    <w:rPr>
      <w:rFonts w:ascii="Calibri" w:hAnsi="Calibri"/>
      <w:b/>
    </w:rPr>
  </w:style>
  <w:style w:type="character" w:customStyle="1" w:styleId="TitleChar">
    <w:name w:val="Title Char"/>
    <w:basedOn w:val="DefaultParagraphFont"/>
    <w:link w:val="Title"/>
    <w:rsid w:val="002B003F"/>
    <w:rPr>
      <w:rFonts w:ascii="Calibri" w:hAnsi="Calibri"/>
      <w:b/>
    </w:rPr>
  </w:style>
  <w:style w:type="character" w:styleId="Hyperlink">
    <w:name w:val="Hyperlink"/>
    <w:basedOn w:val="DefaultParagraphFont"/>
    <w:uiPriority w:val="99"/>
    <w:unhideWhenUsed/>
    <w:rsid w:val="001E6F7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22141">
      <w:bodyDiv w:val="1"/>
      <w:marLeft w:val="0"/>
      <w:marRight w:val="0"/>
      <w:marTop w:val="0"/>
      <w:marBottom w:val="0"/>
      <w:divBdr>
        <w:top w:val="none" w:sz="0" w:space="0" w:color="auto"/>
        <w:left w:val="none" w:sz="0" w:space="0" w:color="auto"/>
        <w:bottom w:val="none" w:sz="0" w:space="0" w:color="auto"/>
        <w:right w:val="none" w:sz="0" w:space="0" w:color="auto"/>
      </w:divBdr>
    </w:div>
    <w:div w:id="262154290">
      <w:bodyDiv w:val="1"/>
      <w:marLeft w:val="0"/>
      <w:marRight w:val="0"/>
      <w:marTop w:val="0"/>
      <w:marBottom w:val="0"/>
      <w:divBdr>
        <w:top w:val="none" w:sz="0" w:space="0" w:color="auto"/>
        <w:left w:val="none" w:sz="0" w:space="0" w:color="auto"/>
        <w:bottom w:val="none" w:sz="0" w:space="0" w:color="auto"/>
        <w:right w:val="none" w:sz="0" w:space="0" w:color="auto"/>
      </w:divBdr>
    </w:div>
    <w:div w:id="373192928">
      <w:bodyDiv w:val="1"/>
      <w:marLeft w:val="0"/>
      <w:marRight w:val="0"/>
      <w:marTop w:val="0"/>
      <w:marBottom w:val="0"/>
      <w:divBdr>
        <w:top w:val="none" w:sz="0" w:space="0" w:color="auto"/>
        <w:left w:val="none" w:sz="0" w:space="0" w:color="auto"/>
        <w:bottom w:val="none" w:sz="0" w:space="0" w:color="auto"/>
        <w:right w:val="none" w:sz="0" w:space="0" w:color="auto"/>
      </w:divBdr>
    </w:div>
    <w:div w:id="816655344">
      <w:bodyDiv w:val="1"/>
      <w:marLeft w:val="0"/>
      <w:marRight w:val="0"/>
      <w:marTop w:val="0"/>
      <w:marBottom w:val="0"/>
      <w:divBdr>
        <w:top w:val="none" w:sz="0" w:space="0" w:color="auto"/>
        <w:left w:val="none" w:sz="0" w:space="0" w:color="auto"/>
        <w:bottom w:val="none" w:sz="0" w:space="0" w:color="auto"/>
        <w:right w:val="none" w:sz="0" w:space="0" w:color="auto"/>
      </w:divBdr>
    </w:div>
    <w:div w:id="1189178358">
      <w:bodyDiv w:val="1"/>
      <w:marLeft w:val="0"/>
      <w:marRight w:val="0"/>
      <w:marTop w:val="0"/>
      <w:marBottom w:val="0"/>
      <w:divBdr>
        <w:top w:val="none" w:sz="0" w:space="0" w:color="auto"/>
        <w:left w:val="none" w:sz="0" w:space="0" w:color="auto"/>
        <w:bottom w:val="none" w:sz="0" w:space="0" w:color="auto"/>
        <w:right w:val="none" w:sz="0" w:space="0" w:color="auto"/>
      </w:divBdr>
    </w:div>
    <w:div w:id="1489981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theiia.org/en/standards/what-are-the-standards/mandatory-guidance/code-of-ethic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585</Words>
  <Characters>3335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2021-12-28T20:12:00Z</dcterms:created>
  <dcterms:modified xsi:type="dcterms:W3CDTF">2023-04-17T15:44:00Z</dcterms:modified>
</cp:coreProperties>
</file>